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FC20B" w14:textId="5524E846" w:rsidR="0069513E" w:rsidRDefault="00A02C17" w:rsidP="00362A1C">
      <w:pPr>
        <w:rPr>
          <w:b/>
          <w:bCs/>
          <w:u w:val="single"/>
        </w:rPr>
      </w:pPr>
      <w:r w:rsidRPr="00A02C17">
        <w:rPr>
          <w:b/>
          <w:bCs/>
          <w:u w:val="single"/>
        </w:rPr>
        <w:t xml:space="preserve"> </w:t>
      </w:r>
      <w:r w:rsidR="00131FEA">
        <w:rPr>
          <w:b/>
          <w:bCs/>
          <w:u w:val="single"/>
        </w:rPr>
        <w:t xml:space="preserve">A REPORT </w:t>
      </w:r>
      <w:r w:rsidR="00A30F9C">
        <w:rPr>
          <w:b/>
          <w:bCs/>
          <w:u w:val="single"/>
        </w:rPr>
        <w:t xml:space="preserve">ON </w:t>
      </w:r>
      <w:r w:rsidR="00131FEA">
        <w:rPr>
          <w:b/>
          <w:bCs/>
          <w:u w:val="single"/>
        </w:rPr>
        <w:t xml:space="preserve">THE </w:t>
      </w:r>
      <w:r w:rsidR="00A30F9C">
        <w:rPr>
          <w:b/>
          <w:bCs/>
          <w:u w:val="single"/>
        </w:rPr>
        <w:t xml:space="preserve">ANALYSIS </w:t>
      </w:r>
      <w:r w:rsidR="00131FEA">
        <w:rPr>
          <w:b/>
          <w:bCs/>
          <w:u w:val="single"/>
        </w:rPr>
        <w:t xml:space="preserve">OF </w:t>
      </w:r>
      <w:r w:rsidR="00A30F9C">
        <w:rPr>
          <w:b/>
          <w:bCs/>
          <w:u w:val="single"/>
        </w:rPr>
        <w:t>SXL</w:t>
      </w:r>
      <w:r w:rsidR="00131FEA">
        <w:rPr>
          <w:b/>
          <w:bCs/>
          <w:u w:val="single"/>
        </w:rPr>
        <w:t xml:space="preserve"> -</w:t>
      </w:r>
      <w:r w:rsidR="00A30F9C">
        <w:rPr>
          <w:b/>
          <w:bCs/>
          <w:u w:val="single"/>
        </w:rPr>
        <w:t xml:space="preserve"> Southern Cross Media Group</w:t>
      </w:r>
      <w:r w:rsidRPr="00A02C17">
        <w:rPr>
          <w:b/>
          <w:bCs/>
          <w:u w:val="single"/>
        </w:rPr>
        <w:t>.</w:t>
      </w:r>
    </w:p>
    <w:p w14:paraId="26D8A823" w14:textId="60B71071" w:rsidR="00A02C17" w:rsidRDefault="00A02C17" w:rsidP="00362A1C"/>
    <w:p w14:paraId="69FEB510" w14:textId="218A56E6" w:rsidR="00A02C17" w:rsidRDefault="00994371" w:rsidP="00362A1C">
      <w:r>
        <w:t>QUESTION B.</w:t>
      </w:r>
    </w:p>
    <w:p w14:paraId="5334874D" w14:textId="7C3F8D69" w:rsidR="000C7566" w:rsidRDefault="000C7566" w:rsidP="00362A1C">
      <w:r>
        <w:t xml:space="preserve">My company’s (Southern Cross media group) long term debt to total asset ratio for 2019 was lower than the industry average meaning that it used lower debt than its peers in the industry. The </w:t>
      </w:r>
      <w:r w:rsidR="00362A1C">
        <w:t>long-term</w:t>
      </w:r>
      <w:r>
        <w:t xml:space="preserve"> debt to total asset for Southern Cross media group for the year ended 2019 was found to be 0.2623 whereas that of the industry was 3.048 indicating that most of southern cross media group peers used more debt as opposed to assets.</w:t>
      </w:r>
    </w:p>
    <w:p w14:paraId="36BA87D2" w14:textId="02618BD5" w:rsidR="000C7566" w:rsidRDefault="000C7566" w:rsidP="00362A1C">
      <w:r>
        <w:t xml:space="preserve">The </w:t>
      </w:r>
      <w:r w:rsidR="00362A1C">
        <w:t>long-term</w:t>
      </w:r>
      <w:r>
        <w:t xml:space="preserve"> debt to equity ratio for Southern Cross media group was </w:t>
      </w:r>
      <w:r w:rsidR="00ED2122">
        <w:t>f</w:t>
      </w:r>
      <w:r>
        <w:t>ound to be 0.7441 while the industry average was 11.9207 for the year ended 2019.</w:t>
      </w:r>
      <w:r w:rsidR="00ED2122">
        <w:t xml:space="preserve"> This indicates that Southern Cross media group used more of its equity in financing its operations as compared to its peers who used more of debt rather than equity to fund their operations enabling it to have a lower debt/equity ratio of 0.7442 which was lower than the industry average.</w:t>
      </w:r>
    </w:p>
    <w:p w14:paraId="492E5FEE" w14:textId="1322F71E" w:rsidR="00994371" w:rsidRDefault="00994371" w:rsidP="00362A1C"/>
    <w:p w14:paraId="3F6F0294" w14:textId="08DA26A6" w:rsidR="00994371" w:rsidRDefault="00994371" w:rsidP="00362A1C">
      <w:r>
        <w:t>QUESTION C.</w:t>
      </w:r>
    </w:p>
    <w:p w14:paraId="34095438" w14:textId="335AF350" w:rsidR="00994371" w:rsidRDefault="00A30F9C" w:rsidP="00362A1C">
      <w:r>
        <w:t>The i</w:t>
      </w:r>
      <w:r w:rsidR="005D1A66">
        <w:t xml:space="preserve">dentified firm with the assumed similar size as my firm (Southern Cross Media Group) is Event Hospitality and Entertainment Ltd. </w:t>
      </w:r>
      <w:r w:rsidR="002F6D05">
        <w:t>This was because</w:t>
      </w:r>
      <w:r w:rsidR="005D1A66">
        <w:t xml:space="preserve"> SXL has a total asset value of AUD 1.74B while EVT has a total asset value of AUD 1.79B. Henc</w:t>
      </w:r>
      <w:r w:rsidR="002F6D05">
        <w:t>e it was selected</w:t>
      </w:r>
      <w:r w:rsidR="005D1A66">
        <w:t>.</w:t>
      </w:r>
    </w:p>
    <w:p w14:paraId="0BDEE845" w14:textId="3ABD1FA1" w:rsidR="002F6D05" w:rsidRDefault="005D1A66" w:rsidP="00362A1C">
      <w:r>
        <w:t xml:space="preserve">From the </w:t>
      </w:r>
      <w:r w:rsidR="005639C2">
        <w:t xml:space="preserve">findings, Southern Cross media group had a </w:t>
      </w:r>
      <w:r w:rsidR="00362A1C">
        <w:t>long-term</w:t>
      </w:r>
      <w:r w:rsidR="005639C2">
        <w:t xml:space="preserve"> debt to total asset ratio of 0.2623 while Event Hospitality and Entertainment limited had a </w:t>
      </w:r>
      <w:r w:rsidR="00362A1C">
        <w:t>long-term</w:t>
      </w:r>
      <w:r w:rsidR="005639C2">
        <w:t xml:space="preserve"> debt to total asset ratio of 0.2123. This finding clearly shows that southern cross media group had a much bigger debt to asset ratio as compared to Event Hospitality and Entertainment limited. This shows that Southern cross media group is more </w:t>
      </w:r>
      <w:r w:rsidR="002F6D05">
        <w:t>geare</w:t>
      </w:r>
      <w:r w:rsidR="005639C2">
        <w:t>d and it uses more of debt than assets for operations. For every unit of asset used, 0.2623(26.23%) of debt is required by Southern cross media group f</w:t>
      </w:r>
      <w:r w:rsidR="002F6D05">
        <w:t>or operations while Event Hospitality and Entertainment limited requires 0.2123(21.23%) of debt for every unit of asset used in operations.</w:t>
      </w:r>
    </w:p>
    <w:p w14:paraId="4E268273" w14:textId="77777777" w:rsidR="007F42C8" w:rsidRDefault="007F42C8" w:rsidP="00362A1C"/>
    <w:p w14:paraId="42FFD0ED" w14:textId="77777777" w:rsidR="007F42C8" w:rsidRDefault="002F6D05" w:rsidP="00362A1C">
      <w:r>
        <w:t>QUESTION D</w:t>
      </w:r>
    </w:p>
    <w:p w14:paraId="187BF618" w14:textId="007FD276" w:rsidR="000213DF" w:rsidRDefault="005639C2" w:rsidP="00362A1C">
      <w:r>
        <w:t xml:space="preserve"> </w:t>
      </w:r>
      <w:r w:rsidR="007F42C8">
        <w:t>Optimal capital structure for any firm is the debt</w:t>
      </w:r>
      <w:r w:rsidR="000213DF">
        <w:t>/</w:t>
      </w:r>
      <w:r w:rsidR="007F42C8">
        <w:t>equity ratio that will in turn maximize its overall value</w:t>
      </w:r>
      <w:r w:rsidR="00D84BE8">
        <w:t xml:space="preserve"> (</w:t>
      </w:r>
      <w:r w:rsidR="00D84BE8" w:rsidRPr="00ED2122">
        <w:t>Balachandran</w:t>
      </w:r>
      <w:r w:rsidR="00D84BE8">
        <w:t xml:space="preserve"> et al, </w:t>
      </w:r>
      <w:r w:rsidR="00D84BE8" w:rsidRPr="00ED2122">
        <w:t>2019)</w:t>
      </w:r>
      <w:r w:rsidR="007F42C8">
        <w:t>.</w:t>
      </w:r>
      <w:r w:rsidR="005D1A66">
        <w:t xml:space="preserve"> </w:t>
      </w:r>
    </w:p>
    <w:p w14:paraId="6F0F15B1" w14:textId="22F70881" w:rsidR="005D1A66" w:rsidRDefault="000213DF" w:rsidP="00362A1C">
      <w:r>
        <w:t>The company does not have an optimal debt/equity ratio since it has a business risk of 0.9 meaning it is highly geared and uses more debt than equity</w:t>
      </w:r>
      <w:r w:rsidR="00D84BE8">
        <w:t xml:space="preserve"> (</w:t>
      </w:r>
      <w:r w:rsidR="00D84BE8">
        <w:t>(</w:t>
      </w:r>
      <w:r w:rsidR="00D84BE8" w:rsidRPr="00D84BE8">
        <w:t>Brown</w:t>
      </w:r>
      <w:r w:rsidR="00D84BE8">
        <w:t xml:space="preserve"> et al, </w:t>
      </w:r>
      <w:r w:rsidR="00D84BE8" w:rsidRPr="00D84BE8">
        <w:t>2019</w:t>
      </w:r>
      <w:r w:rsidR="00D84BE8">
        <w:t>)</w:t>
      </w:r>
      <w:r>
        <w:t>.</w:t>
      </w:r>
    </w:p>
    <w:p w14:paraId="4CA19DD8" w14:textId="63B4AA4F" w:rsidR="00E87A33" w:rsidRDefault="00E87A33" w:rsidP="00362A1C">
      <w:r>
        <w:t>QUESTION E</w:t>
      </w:r>
    </w:p>
    <w:p w14:paraId="7CA5A1FE" w14:textId="33DAC9B7" w:rsidR="00445038" w:rsidRPr="00445038" w:rsidRDefault="00445038" w:rsidP="00362A1C">
      <w:pPr>
        <w:rPr>
          <w:i/>
          <w:iCs/>
        </w:rPr>
      </w:pPr>
      <w:r w:rsidRPr="00445038">
        <w:rPr>
          <w:i/>
          <w:iCs/>
        </w:rPr>
        <w:t>Dividend Yield = Dividend per share / Market value per share</w:t>
      </w:r>
    </w:p>
    <w:p w14:paraId="24F68918" w14:textId="280F8D93" w:rsidR="00ED2122" w:rsidRDefault="00ED2122" w:rsidP="00362A1C">
      <w:r>
        <w:t>(i)</w:t>
      </w:r>
    </w:p>
    <w:p w14:paraId="77B710B9" w14:textId="744797B8" w:rsidR="00445038" w:rsidRDefault="00445038" w:rsidP="00362A1C">
      <w:r>
        <w:t>The 3-day return earned by SXL is:</w:t>
      </w:r>
    </w:p>
    <w:p w14:paraId="033FFF5D" w14:textId="5A0574BE" w:rsidR="00445038" w:rsidRDefault="00445038" w:rsidP="00362A1C">
      <w:r>
        <w:t>DY = 4.37</w:t>
      </w:r>
    </w:p>
    <w:p w14:paraId="1E5C94B0" w14:textId="190647E9" w:rsidR="00445038" w:rsidRDefault="00445038" w:rsidP="00362A1C">
      <w:r>
        <w:t>The 2-day return earned by SXL is:</w:t>
      </w:r>
    </w:p>
    <w:p w14:paraId="210162E7" w14:textId="090863F0" w:rsidR="00445038" w:rsidRDefault="00445038" w:rsidP="00362A1C">
      <w:r>
        <w:t>DY = 6.54</w:t>
      </w:r>
    </w:p>
    <w:p w14:paraId="21EE94B4" w14:textId="70D89550" w:rsidR="00445038" w:rsidRDefault="00445038" w:rsidP="00362A1C">
      <w:r>
        <w:t>(ii)</w:t>
      </w:r>
    </w:p>
    <w:p w14:paraId="1BCF0AA8" w14:textId="16A9DA66" w:rsidR="00445038" w:rsidRDefault="00445038" w:rsidP="00362A1C">
      <w:r>
        <w:t>The market return for the corresponding periods:</w:t>
      </w:r>
    </w:p>
    <w:p w14:paraId="0D2C28B0" w14:textId="20340965" w:rsidR="00445038" w:rsidRDefault="00362A1C" w:rsidP="00362A1C">
      <w:r>
        <w:t>Market Return = 8.33.</w:t>
      </w:r>
    </w:p>
    <w:p w14:paraId="33B75EA8" w14:textId="191E3F85" w:rsidR="00362A1C" w:rsidRDefault="00362A1C" w:rsidP="00362A1C">
      <w:r>
        <w:t>Market Return = 16.32.</w:t>
      </w:r>
    </w:p>
    <w:p w14:paraId="1C336A91" w14:textId="5273D6CC" w:rsidR="00362A1C" w:rsidRDefault="00362A1C" w:rsidP="00362A1C"/>
    <w:p w14:paraId="4523A292" w14:textId="6B129066" w:rsidR="00E87A33" w:rsidRDefault="00E87A33" w:rsidP="00362A1C">
      <w:r>
        <w:t>QUESTION F</w:t>
      </w:r>
    </w:p>
    <w:p w14:paraId="423A9151" w14:textId="13A20686" w:rsidR="00E87A33" w:rsidRDefault="00E87A33" w:rsidP="00362A1C">
      <w:r>
        <w:t>The relevant theory for the findings of the market reaction to dividend changes in e(iii) is the static trade off theory which states that firms have optimal capital structure (debt to equity) ratios and markets react instantly to dividend announcements and changes.</w:t>
      </w:r>
      <w:r w:rsidR="006B1D7F">
        <w:t xml:space="preserve"> The increases and decreases in prices </w:t>
      </w:r>
      <w:r w:rsidR="00362A1C">
        <w:t>are</w:t>
      </w:r>
      <w:r w:rsidR="006B1D7F">
        <w:t xml:space="preserve"> the most popular way a market reacts to changes in dividends.</w:t>
      </w:r>
    </w:p>
    <w:p w14:paraId="4A170B3B" w14:textId="05133157" w:rsidR="006B1D7F" w:rsidRDefault="006B1D7F" w:rsidP="00362A1C">
      <w:r>
        <w:t xml:space="preserve">Signalling Hypothesis illustrates that increases in dividends signals improvement in company </w:t>
      </w:r>
      <w:r>
        <w:lastRenderedPageBreak/>
        <w:t>performance maybe due to implementation of a new technology while a decrease in dividends and prices of a firm’s securities signals poor performance to investors</w:t>
      </w:r>
      <w:r w:rsidR="00D84BE8">
        <w:t xml:space="preserve"> (</w:t>
      </w:r>
      <w:r w:rsidR="00D84BE8" w:rsidRPr="00D84BE8">
        <w:t>Brown</w:t>
      </w:r>
      <w:r w:rsidR="00D84BE8">
        <w:t xml:space="preserve"> et al, </w:t>
      </w:r>
      <w:r w:rsidR="00D84BE8" w:rsidRPr="00D84BE8">
        <w:t>2019</w:t>
      </w:r>
      <w:r w:rsidR="00D84BE8">
        <w:t>)</w:t>
      </w:r>
      <w:r>
        <w:t>.</w:t>
      </w:r>
    </w:p>
    <w:p w14:paraId="0B33F3C3" w14:textId="7E10D9A5" w:rsidR="00AE4954" w:rsidRDefault="006B1D7F" w:rsidP="00362A1C">
      <w:r>
        <w:t>Free cashflow Hypothesis on the other hand implies that dividend policies and practices address agency problems between managers and outside investors</w:t>
      </w:r>
      <w:r w:rsidR="005E57E5">
        <w:t xml:space="preserve"> while the Clientele Hypothesis </w:t>
      </w:r>
      <w:r w:rsidR="00EC2A0C">
        <w:t>states</w:t>
      </w:r>
      <w:r w:rsidR="005E57E5">
        <w:t xml:space="preserve"> that investors will choose a dividend policy that best suits their needs as the market responds to the changes in dividends as the companies change their dividend policies</w:t>
      </w:r>
      <w:r w:rsidR="00D84BE8">
        <w:t xml:space="preserve"> (</w:t>
      </w:r>
      <w:r w:rsidR="00D84BE8" w:rsidRPr="00D84BE8">
        <w:t>Graham</w:t>
      </w:r>
      <w:r w:rsidR="00D84BE8">
        <w:t xml:space="preserve"> </w:t>
      </w:r>
      <w:r w:rsidR="00D84BE8" w:rsidRPr="00D84BE8">
        <w:t>&amp; Harvey 2002)</w:t>
      </w:r>
      <w:r w:rsidR="005E57E5">
        <w:t>.</w:t>
      </w:r>
    </w:p>
    <w:p w14:paraId="29539E8A" w14:textId="77777777" w:rsidR="00EC2A0C" w:rsidRDefault="00EC2A0C" w:rsidP="00362A1C"/>
    <w:p w14:paraId="103AD75B" w14:textId="20E5A156" w:rsidR="00377F09" w:rsidRDefault="00377F09" w:rsidP="00362A1C">
      <w:pPr>
        <w:rPr>
          <w:b/>
          <w:bCs/>
        </w:rPr>
      </w:pPr>
      <w:r>
        <w:rPr>
          <w:b/>
          <w:bCs/>
        </w:rPr>
        <w:t>Graph Work.</w:t>
      </w:r>
    </w:p>
    <w:p w14:paraId="65585737" w14:textId="2D3CB3F2" w:rsidR="004E493B" w:rsidRPr="004E493B" w:rsidRDefault="004E493B" w:rsidP="004E493B">
      <w:r>
        <w:rPr>
          <w:b/>
          <w:bCs/>
        </w:rPr>
        <w:t xml:space="preserve"> (</w:t>
      </w:r>
      <w:r w:rsidRPr="004E493B">
        <w:t>Source</w:t>
      </w:r>
      <w:r>
        <w:t>; Excel Tabulation Worksheet)</w:t>
      </w:r>
      <w:r w:rsidRPr="004E493B">
        <w:t xml:space="preserve"> </w:t>
      </w:r>
    </w:p>
    <w:p w14:paraId="743773AB" w14:textId="77777777" w:rsidR="00EF6609" w:rsidRDefault="00EF6609" w:rsidP="00246443">
      <w:pPr>
        <w:rPr>
          <w:b/>
          <w:bCs/>
        </w:rPr>
      </w:pPr>
    </w:p>
    <w:p w14:paraId="44B95126" w14:textId="1CE8FA7E" w:rsidR="00AE4954" w:rsidRDefault="00377F09" w:rsidP="00362A1C">
      <w:pPr>
        <w:ind w:left="2880" w:firstLine="720"/>
        <w:rPr>
          <w:b/>
          <w:bCs/>
        </w:rPr>
      </w:pPr>
      <w:r>
        <w:rPr>
          <w:noProof/>
        </w:rPr>
        <w:drawing>
          <wp:anchor distT="0" distB="0" distL="114300" distR="114300" simplePos="0" relativeHeight="251661312" behindDoc="0" locked="0" layoutInCell="1" allowOverlap="1" wp14:anchorId="4C4C10F4" wp14:editId="74200708">
            <wp:simplePos x="0" y="0"/>
            <wp:positionH relativeFrom="column">
              <wp:posOffset>0</wp:posOffset>
            </wp:positionH>
            <wp:positionV relativeFrom="paragraph">
              <wp:posOffset>3092450</wp:posOffset>
            </wp:positionV>
            <wp:extent cx="4572000" cy="2743200"/>
            <wp:effectExtent l="0" t="0" r="0" b="0"/>
            <wp:wrapSquare wrapText="bothSides"/>
            <wp:docPr id="2" name="Chart 2">
              <a:extLst xmlns:a="http://schemas.openxmlformats.org/drawingml/2006/main">
                <a:ext uri="{FF2B5EF4-FFF2-40B4-BE49-F238E27FC236}">
                  <a16:creationId xmlns:a16="http://schemas.microsoft.com/office/drawing/2014/main" id="{519730F6-4C6F-413D-A450-C6AEC6B5F5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6567F23" wp14:editId="0CF9AE6C">
            <wp:simplePos x="0" y="0"/>
            <wp:positionH relativeFrom="column">
              <wp:posOffset>0</wp:posOffset>
            </wp:positionH>
            <wp:positionV relativeFrom="paragraph">
              <wp:posOffset>174625</wp:posOffset>
            </wp:positionV>
            <wp:extent cx="4572000" cy="2743200"/>
            <wp:effectExtent l="0" t="0" r="0" b="0"/>
            <wp:wrapSquare wrapText="bothSides"/>
            <wp:docPr id="1" name="Chart 1">
              <a:extLst xmlns:a="http://schemas.openxmlformats.org/drawingml/2006/main">
                <a:ext uri="{FF2B5EF4-FFF2-40B4-BE49-F238E27FC236}">
                  <a16:creationId xmlns:a16="http://schemas.microsoft.com/office/drawing/2014/main" id="{DEDA0B85-E824-4EBE-8D19-4A0F7A9C82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3682272C" w14:textId="2C95E0BA" w:rsidR="00377F09" w:rsidRDefault="00377F09" w:rsidP="00EF6609">
      <w:pPr>
        <w:rPr>
          <w:b/>
          <w:bCs/>
        </w:rPr>
      </w:pPr>
    </w:p>
    <w:p w14:paraId="0CDB0BB3" w14:textId="4A5C9A7C" w:rsidR="00EF6609" w:rsidRDefault="00EF6609" w:rsidP="00EF6609">
      <w:pPr>
        <w:rPr>
          <w:b/>
          <w:bCs/>
        </w:rPr>
      </w:pPr>
    </w:p>
    <w:p w14:paraId="5D9F5353" w14:textId="444C6D8B" w:rsidR="00EF6609" w:rsidRDefault="00EF6609" w:rsidP="00EF6609">
      <w:pPr>
        <w:rPr>
          <w:b/>
          <w:bCs/>
        </w:rPr>
      </w:pPr>
    </w:p>
    <w:p w14:paraId="431357E5" w14:textId="581FC355" w:rsidR="00EF6609" w:rsidRDefault="00EF6609" w:rsidP="00EF6609">
      <w:pPr>
        <w:rPr>
          <w:b/>
          <w:bCs/>
        </w:rPr>
      </w:pPr>
    </w:p>
    <w:p w14:paraId="5595773C" w14:textId="620C0D17" w:rsidR="00EF6609" w:rsidRDefault="00EF6609" w:rsidP="00EF6609">
      <w:pPr>
        <w:rPr>
          <w:b/>
          <w:bCs/>
        </w:rPr>
      </w:pPr>
    </w:p>
    <w:p w14:paraId="035F1276" w14:textId="7153E9F1" w:rsidR="00EF6609" w:rsidRDefault="00EF6609" w:rsidP="00EF6609">
      <w:pPr>
        <w:rPr>
          <w:b/>
          <w:bCs/>
        </w:rPr>
      </w:pPr>
    </w:p>
    <w:p w14:paraId="3B42C1C8" w14:textId="0B10D99F" w:rsidR="00EF6609" w:rsidRDefault="00EF6609" w:rsidP="00EF6609">
      <w:pPr>
        <w:rPr>
          <w:b/>
          <w:bCs/>
        </w:rPr>
      </w:pPr>
    </w:p>
    <w:p w14:paraId="20795293" w14:textId="69619283" w:rsidR="00EF6609" w:rsidRDefault="00EF6609" w:rsidP="00EF6609">
      <w:pPr>
        <w:rPr>
          <w:b/>
          <w:bCs/>
        </w:rPr>
      </w:pPr>
    </w:p>
    <w:p w14:paraId="5F3EA5DF" w14:textId="016E46A4" w:rsidR="00EF6609" w:rsidRDefault="00EF6609" w:rsidP="00EF6609">
      <w:pPr>
        <w:rPr>
          <w:b/>
          <w:bCs/>
        </w:rPr>
      </w:pPr>
    </w:p>
    <w:p w14:paraId="7E98A0E5" w14:textId="40616E8C" w:rsidR="00EF6609" w:rsidRDefault="00EF6609" w:rsidP="00EF6609">
      <w:pPr>
        <w:rPr>
          <w:b/>
          <w:bCs/>
        </w:rPr>
      </w:pPr>
    </w:p>
    <w:p w14:paraId="74DAD1E3" w14:textId="09B2FA4A" w:rsidR="00EF6609" w:rsidRDefault="00EF6609" w:rsidP="00EF6609">
      <w:pPr>
        <w:rPr>
          <w:b/>
          <w:bCs/>
        </w:rPr>
      </w:pPr>
    </w:p>
    <w:p w14:paraId="32389012" w14:textId="3EFBDC4E" w:rsidR="00EF6609" w:rsidRDefault="00EF6609" w:rsidP="00EF6609">
      <w:pPr>
        <w:rPr>
          <w:b/>
          <w:bCs/>
        </w:rPr>
      </w:pPr>
    </w:p>
    <w:p w14:paraId="5F3F670A" w14:textId="1E60C825" w:rsidR="00EF6609" w:rsidRDefault="00EF6609" w:rsidP="00EF6609">
      <w:pPr>
        <w:rPr>
          <w:b/>
          <w:bCs/>
        </w:rPr>
      </w:pPr>
    </w:p>
    <w:p w14:paraId="01EB014C" w14:textId="2F9D6986" w:rsidR="00EF6609" w:rsidRDefault="00EF6609" w:rsidP="00EF6609">
      <w:pPr>
        <w:rPr>
          <w:b/>
          <w:bCs/>
        </w:rPr>
      </w:pPr>
    </w:p>
    <w:p w14:paraId="44E5F3E7" w14:textId="44CAB491" w:rsidR="00EF6609" w:rsidRDefault="00EF6609" w:rsidP="00EF6609">
      <w:pPr>
        <w:rPr>
          <w:b/>
          <w:bCs/>
        </w:rPr>
      </w:pPr>
    </w:p>
    <w:p w14:paraId="2F7DFBBD" w14:textId="0F2F4C11" w:rsidR="00EF6609" w:rsidRDefault="00EF6609" w:rsidP="00EF6609">
      <w:pPr>
        <w:rPr>
          <w:b/>
          <w:bCs/>
        </w:rPr>
      </w:pPr>
    </w:p>
    <w:p w14:paraId="2485E9D1" w14:textId="4067AEE6" w:rsidR="00EF6609" w:rsidRDefault="00EF6609" w:rsidP="00EF6609">
      <w:pPr>
        <w:rPr>
          <w:b/>
          <w:bCs/>
        </w:rPr>
      </w:pPr>
    </w:p>
    <w:p w14:paraId="64AD7B54" w14:textId="6E61342F" w:rsidR="00EF6609" w:rsidRDefault="00EF6609" w:rsidP="00EF6609">
      <w:pPr>
        <w:rPr>
          <w:b/>
          <w:bCs/>
        </w:rPr>
      </w:pPr>
    </w:p>
    <w:p w14:paraId="221BD3C8" w14:textId="209857EE" w:rsidR="00EF6609" w:rsidRDefault="00EF6609" w:rsidP="00EF6609">
      <w:pPr>
        <w:rPr>
          <w:b/>
          <w:bCs/>
        </w:rPr>
      </w:pPr>
    </w:p>
    <w:p w14:paraId="0F7208C0" w14:textId="24C66593" w:rsidR="00EF6609" w:rsidRDefault="00EF6609" w:rsidP="00EF6609">
      <w:pPr>
        <w:rPr>
          <w:b/>
          <w:bCs/>
        </w:rPr>
      </w:pPr>
    </w:p>
    <w:p w14:paraId="6A33783D" w14:textId="5398B312" w:rsidR="00EF6609" w:rsidRDefault="00EF6609" w:rsidP="00EF6609">
      <w:pPr>
        <w:rPr>
          <w:b/>
          <w:bCs/>
        </w:rPr>
      </w:pPr>
    </w:p>
    <w:p w14:paraId="241A9D7F" w14:textId="2C18D074" w:rsidR="00EF6609" w:rsidRDefault="00EF6609" w:rsidP="00EF6609">
      <w:pPr>
        <w:rPr>
          <w:b/>
          <w:bCs/>
        </w:rPr>
      </w:pPr>
    </w:p>
    <w:p w14:paraId="4F01B846" w14:textId="10072FDF" w:rsidR="00EF6609" w:rsidRDefault="00EF6609" w:rsidP="00EF6609">
      <w:pPr>
        <w:rPr>
          <w:b/>
          <w:bCs/>
        </w:rPr>
      </w:pPr>
    </w:p>
    <w:p w14:paraId="7EC43AB3" w14:textId="490CEA2D" w:rsidR="00EF6609" w:rsidRDefault="00EF6609" w:rsidP="00EF6609">
      <w:pPr>
        <w:rPr>
          <w:b/>
          <w:bCs/>
        </w:rPr>
      </w:pPr>
    </w:p>
    <w:p w14:paraId="0F8091A6" w14:textId="526043DA" w:rsidR="00EF6609" w:rsidRDefault="00EF6609" w:rsidP="00EF6609">
      <w:pPr>
        <w:rPr>
          <w:b/>
          <w:bCs/>
        </w:rPr>
      </w:pPr>
    </w:p>
    <w:p w14:paraId="5217E506" w14:textId="79BA076B" w:rsidR="00EF6609" w:rsidRDefault="00EF6609" w:rsidP="00EF6609">
      <w:pPr>
        <w:rPr>
          <w:b/>
          <w:bCs/>
        </w:rPr>
      </w:pPr>
    </w:p>
    <w:p w14:paraId="70BB97D1" w14:textId="67BC282E" w:rsidR="00EF6609" w:rsidRDefault="00EF6609" w:rsidP="00EF6609">
      <w:pPr>
        <w:rPr>
          <w:b/>
          <w:bCs/>
        </w:rPr>
      </w:pPr>
    </w:p>
    <w:p w14:paraId="385E6545" w14:textId="185FEBE0" w:rsidR="00EF6609" w:rsidRDefault="00EF6609" w:rsidP="00EF6609">
      <w:pPr>
        <w:rPr>
          <w:b/>
          <w:bCs/>
        </w:rPr>
      </w:pPr>
    </w:p>
    <w:p w14:paraId="32E8A1C1" w14:textId="2192377E" w:rsidR="00EF6609" w:rsidRDefault="00EF6609" w:rsidP="00EF6609">
      <w:pPr>
        <w:rPr>
          <w:b/>
          <w:bCs/>
        </w:rPr>
      </w:pPr>
    </w:p>
    <w:p w14:paraId="0167901A" w14:textId="7D0FF92D" w:rsidR="00EF6609" w:rsidRDefault="00EF6609" w:rsidP="00EF6609">
      <w:pPr>
        <w:rPr>
          <w:b/>
          <w:bCs/>
        </w:rPr>
      </w:pPr>
    </w:p>
    <w:p w14:paraId="68D73B57" w14:textId="240C780F" w:rsidR="00EF6609" w:rsidRDefault="00EF6609" w:rsidP="00EF6609">
      <w:pPr>
        <w:rPr>
          <w:b/>
          <w:bCs/>
        </w:rPr>
      </w:pPr>
    </w:p>
    <w:p w14:paraId="0D66B02B" w14:textId="3781177F" w:rsidR="00EF6609" w:rsidRDefault="00EF6609" w:rsidP="00EF6609">
      <w:pPr>
        <w:rPr>
          <w:b/>
          <w:bCs/>
        </w:rPr>
      </w:pPr>
    </w:p>
    <w:p w14:paraId="6E6F2D9D" w14:textId="5ED61619" w:rsidR="00EF6609" w:rsidRDefault="00EF6609" w:rsidP="00EF6609">
      <w:pPr>
        <w:rPr>
          <w:b/>
          <w:bCs/>
        </w:rPr>
      </w:pPr>
    </w:p>
    <w:p w14:paraId="561AA96D" w14:textId="57E2AD76" w:rsidR="00246443" w:rsidRDefault="00246443" w:rsidP="00EF6609">
      <w:pPr>
        <w:rPr>
          <w:b/>
          <w:bCs/>
        </w:rPr>
      </w:pPr>
    </w:p>
    <w:p w14:paraId="2E25732A" w14:textId="6DBFF04A" w:rsidR="00246443" w:rsidRDefault="00246443" w:rsidP="00EF6609">
      <w:pPr>
        <w:rPr>
          <w:b/>
          <w:bCs/>
        </w:rPr>
      </w:pPr>
    </w:p>
    <w:p w14:paraId="77724582" w14:textId="75E18B87" w:rsidR="00246443" w:rsidRDefault="00246443" w:rsidP="00EF6609">
      <w:pPr>
        <w:rPr>
          <w:b/>
          <w:bCs/>
        </w:rPr>
      </w:pPr>
    </w:p>
    <w:p w14:paraId="68B2AB42" w14:textId="2960EE80" w:rsidR="00246443" w:rsidRDefault="00246443" w:rsidP="00EF6609">
      <w:pPr>
        <w:rPr>
          <w:b/>
          <w:bCs/>
        </w:rPr>
      </w:pPr>
    </w:p>
    <w:p w14:paraId="2831C389" w14:textId="77777777" w:rsidR="00246443" w:rsidRDefault="00246443" w:rsidP="00EF6609">
      <w:pPr>
        <w:rPr>
          <w:b/>
          <w:bCs/>
        </w:rPr>
      </w:pPr>
    </w:p>
    <w:p w14:paraId="3D5333A7" w14:textId="5AF0B17E" w:rsidR="00EF6609" w:rsidRPr="00377F09" w:rsidRDefault="00246443" w:rsidP="00EF6609">
      <w:pPr>
        <w:rPr>
          <w:b/>
          <w:bCs/>
        </w:rPr>
      </w:pPr>
      <w:r>
        <w:rPr>
          <w:b/>
          <w:bCs/>
        </w:rPr>
        <w:lastRenderedPageBreak/>
        <w:tab/>
      </w:r>
      <w:r>
        <w:rPr>
          <w:b/>
          <w:bCs/>
        </w:rPr>
        <w:tab/>
      </w:r>
      <w:r>
        <w:rPr>
          <w:b/>
          <w:bCs/>
        </w:rPr>
        <w:tab/>
      </w:r>
      <w:r>
        <w:rPr>
          <w:b/>
          <w:bCs/>
        </w:rPr>
        <w:tab/>
      </w:r>
      <w:r>
        <w:rPr>
          <w:b/>
          <w:bCs/>
        </w:rPr>
        <w:tab/>
        <w:t>REFERENCES.</w:t>
      </w:r>
    </w:p>
    <w:p w14:paraId="15AA019B" w14:textId="0D4622DF" w:rsidR="00ED2122" w:rsidRDefault="00ED2122" w:rsidP="00362A1C">
      <w:r w:rsidRPr="00ED2122">
        <w:t>Balachandran, B., Khan, A., Mather, P., &amp; Theobald, M. (2019). Insider ownership and</w:t>
      </w:r>
      <w:r>
        <w:tab/>
      </w:r>
      <w:r>
        <w:tab/>
      </w:r>
      <w:r w:rsidRPr="00ED2122">
        <w:t xml:space="preserve"> dividend policy in an imputation tax environment. </w:t>
      </w:r>
      <w:r w:rsidRPr="00ED2122">
        <w:rPr>
          <w:i/>
          <w:iCs/>
        </w:rPr>
        <w:t>Journal of Corporate Finance</w:t>
      </w:r>
      <w:r w:rsidRPr="00ED2122">
        <w:t>, </w:t>
      </w:r>
      <w:r w:rsidRPr="00ED2122">
        <w:rPr>
          <w:i/>
          <w:iCs/>
        </w:rPr>
        <w:t>54</w:t>
      </w:r>
      <w:r w:rsidRPr="00ED2122">
        <w:t xml:space="preserve">, </w:t>
      </w:r>
      <w:r w:rsidR="00D84BE8">
        <w:tab/>
      </w:r>
      <w:r w:rsidRPr="00ED2122">
        <w:t>153-167.</w:t>
      </w:r>
    </w:p>
    <w:p w14:paraId="326F1AD2" w14:textId="26DDA112" w:rsidR="00D84BE8" w:rsidRDefault="00D84BE8" w:rsidP="00362A1C">
      <w:r w:rsidRPr="00D84BE8">
        <w:t>Balachandran, B., Krishnamurti, C., Theobald, M., &amp; Vidanapathirana, B. (2012). Dividend</w:t>
      </w:r>
      <w:r>
        <w:tab/>
      </w:r>
      <w:r w:rsidRPr="00D84BE8">
        <w:t xml:space="preserve"> reductions, the timing of dividend payments and information content. </w:t>
      </w:r>
      <w:r w:rsidRPr="00D84BE8">
        <w:rPr>
          <w:i/>
          <w:iCs/>
        </w:rPr>
        <w:t xml:space="preserve">Journal of </w:t>
      </w:r>
      <w:r>
        <w:rPr>
          <w:i/>
          <w:iCs/>
        </w:rPr>
        <w:tab/>
      </w:r>
      <w:r w:rsidRPr="00D84BE8">
        <w:rPr>
          <w:i/>
          <w:iCs/>
        </w:rPr>
        <w:t>Corporate Finance</w:t>
      </w:r>
      <w:r w:rsidRPr="00D84BE8">
        <w:t>, </w:t>
      </w:r>
      <w:r w:rsidRPr="00D84BE8">
        <w:rPr>
          <w:i/>
          <w:iCs/>
        </w:rPr>
        <w:t>18</w:t>
      </w:r>
      <w:r w:rsidRPr="00D84BE8">
        <w:t>(5), 1232-1247.</w:t>
      </w:r>
    </w:p>
    <w:p w14:paraId="2A45ACC1" w14:textId="79DD1B59" w:rsidR="00D84BE8" w:rsidRDefault="00D84BE8" w:rsidP="00362A1C">
      <w:r w:rsidRPr="00D84BE8">
        <w:t xml:space="preserve">Brown, S., Dutordoir, M., Veld, C., &amp; Veld-Merkoulova, Y. (2019). What is the role of </w:t>
      </w:r>
      <w:r>
        <w:tab/>
      </w:r>
      <w:r w:rsidRPr="00D84BE8">
        <w:t>institutional investors in corporate capital structure decisions? A survey</w:t>
      </w:r>
      <w:r>
        <w:tab/>
      </w:r>
      <w:r>
        <w:tab/>
      </w:r>
      <w:r>
        <w:tab/>
      </w:r>
      <w:r w:rsidRPr="00D84BE8">
        <w:t xml:space="preserve"> analysis. </w:t>
      </w:r>
      <w:r w:rsidRPr="00D84BE8">
        <w:rPr>
          <w:i/>
          <w:iCs/>
        </w:rPr>
        <w:t>Journal of Corporate Finance</w:t>
      </w:r>
      <w:r w:rsidRPr="00D84BE8">
        <w:t>, </w:t>
      </w:r>
      <w:r w:rsidRPr="00D84BE8">
        <w:rPr>
          <w:i/>
          <w:iCs/>
        </w:rPr>
        <w:t>58</w:t>
      </w:r>
      <w:r w:rsidRPr="00D84BE8">
        <w:t>, 270-286.</w:t>
      </w:r>
    </w:p>
    <w:p w14:paraId="64626660" w14:textId="55FCD1F4" w:rsidR="00D84BE8" w:rsidRDefault="00D84BE8" w:rsidP="00362A1C">
      <w:r w:rsidRPr="00D84BE8">
        <w:t>Graham, J., &amp; Harvey, C. (2002). How do CFOs make capital budgeting and capital structure</w:t>
      </w:r>
      <w:r>
        <w:tab/>
      </w:r>
      <w:r w:rsidRPr="00D84BE8">
        <w:t xml:space="preserve"> </w:t>
      </w:r>
      <w:r w:rsidR="00362A1C" w:rsidRPr="00D84BE8">
        <w:t>decisions?</w:t>
      </w:r>
      <w:r w:rsidRPr="00D84BE8">
        <w:t> </w:t>
      </w:r>
      <w:r w:rsidRPr="00D84BE8">
        <w:rPr>
          <w:i/>
          <w:iCs/>
        </w:rPr>
        <w:t>Journal of applied corporate finance</w:t>
      </w:r>
      <w:r w:rsidRPr="00D84BE8">
        <w:t>, </w:t>
      </w:r>
      <w:r w:rsidRPr="00D84BE8">
        <w:rPr>
          <w:i/>
          <w:iCs/>
        </w:rPr>
        <w:t>15</w:t>
      </w:r>
      <w:r w:rsidRPr="00D84BE8">
        <w:t>(1), 8-23.</w:t>
      </w:r>
    </w:p>
    <w:p w14:paraId="1E1E77A3" w14:textId="56B477BD" w:rsidR="00AE4954" w:rsidRDefault="00AE4954" w:rsidP="00362A1C">
      <w:r w:rsidRPr="00AE4954">
        <w:t>Graham, J. R., &amp; Leary, M. T. (2011). A review of empirical capital structure research and</w:t>
      </w:r>
      <w:r>
        <w:tab/>
      </w:r>
      <w:r w:rsidRPr="00AE4954">
        <w:t xml:space="preserve"> directions for the future.</w:t>
      </w:r>
    </w:p>
    <w:p w14:paraId="22881B4A" w14:textId="739888F7" w:rsidR="006B1D7F" w:rsidRPr="00A02C17" w:rsidRDefault="006B1D7F" w:rsidP="00362A1C"/>
    <w:sectPr w:rsidR="006B1D7F" w:rsidRPr="00A02C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006B9" w14:textId="77777777" w:rsidR="009216E1" w:rsidRDefault="009216E1" w:rsidP="00377F09">
      <w:r>
        <w:separator/>
      </w:r>
    </w:p>
  </w:endnote>
  <w:endnote w:type="continuationSeparator" w:id="0">
    <w:p w14:paraId="18E81B6C" w14:textId="77777777" w:rsidR="009216E1" w:rsidRDefault="009216E1" w:rsidP="0037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64D02" w14:textId="77777777" w:rsidR="009216E1" w:rsidRDefault="009216E1" w:rsidP="00377F09">
      <w:r>
        <w:separator/>
      </w:r>
    </w:p>
  </w:footnote>
  <w:footnote w:type="continuationSeparator" w:id="0">
    <w:p w14:paraId="42E6A1C5" w14:textId="77777777" w:rsidR="009216E1" w:rsidRDefault="009216E1" w:rsidP="00377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4A"/>
    <w:rsid w:val="000213DF"/>
    <w:rsid w:val="000C7566"/>
    <w:rsid w:val="00131FEA"/>
    <w:rsid w:val="00246443"/>
    <w:rsid w:val="002F6D05"/>
    <w:rsid w:val="00334F4A"/>
    <w:rsid w:val="00362A1C"/>
    <w:rsid w:val="00377F09"/>
    <w:rsid w:val="00445038"/>
    <w:rsid w:val="004D3089"/>
    <w:rsid w:val="004E493B"/>
    <w:rsid w:val="005639C2"/>
    <w:rsid w:val="00563E09"/>
    <w:rsid w:val="005D1A66"/>
    <w:rsid w:val="005E57E5"/>
    <w:rsid w:val="0066133B"/>
    <w:rsid w:val="0069513E"/>
    <w:rsid w:val="006B1D7F"/>
    <w:rsid w:val="007F42C8"/>
    <w:rsid w:val="009216E1"/>
    <w:rsid w:val="00994371"/>
    <w:rsid w:val="009B588F"/>
    <w:rsid w:val="00A02C17"/>
    <w:rsid w:val="00A30F9C"/>
    <w:rsid w:val="00AE4954"/>
    <w:rsid w:val="00D84BE8"/>
    <w:rsid w:val="00E87A33"/>
    <w:rsid w:val="00EC2A0C"/>
    <w:rsid w:val="00ED2122"/>
    <w:rsid w:val="00EF6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8D4B"/>
  <w15:chartTrackingRefBased/>
  <w15:docId w15:val="{0096B266-D048-4143-B66E-586575B8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88F"/>
    <w:pPr>
      <w:widowControl w:val="0"/>
      <w:autoSpaceDE w:val="0"/>
      <w:autoSpaceDN w:val="0"/>
      <w:spacing w:after="0" w:line="240" w:lineRule="auto"/>
      <w:jc w:val="both"/>
    </w:pPr>
    <w:rPr>
      <w:rFonts w:ascii="Times New Roman" w:hAnsi="Times New Roman" w:cs="Times New Roman"/>
      <w:sz w:val="24"/>
      <w:lang w:eastAsia="en-GB" w:bidi="en-GB"/>
    </w:rPr>
  </w:style>
  <w:style w:type="paragraph" w:styleId="Heading1">
    <w:name w:val="heading 1"/>
    <w:basedOn w:val="Normal"/>
    <w:link w:val="Heading1Char"/>
    <w:autoRedefine/>
    <w:uiPriority w:val="9"/>
    <w:qFormat/>
    <w:rsid w:val="00563E09"/>
    <w:pPr>
      <w:spacing w:before="61"/>
      <w:jc w:val="center"/>
      <w:outlineLvl w:val="0"/>
    </w:pPr>
    <w:rPr>
      <w:b/>
      <w:bCs/>
      <w:sz w:val="36"/>
      <w:szCs w:val="36"/>
    </w:rPr>
  </w:style>
  <w:style w:type="paragraph" w:styleId="Heading2">
    <w:name w:val="heading 2"/>
    <w:basedOn w:val="Normal"/>
    <w:link w:val="Heading2Char"/>
    <w:autoRedefine/>
    <w:uiPriority w:val="9"/>
    <w:unhideWhenUsed/>
    <w:qFormat/>
    <w:rsid w:val="00563E09"/>
    <w:pPr>
      <w:tabs>
        <w:tab w:val="left" w:pos="318"/>
      </w:tabs>
      <w:outlineLvl w:val="1"/>
    </w:pPr>
    <w:rPr>
      <w:b/>
      <w:bCs/>
      <w:sz w:val="32"/>
      <w:szCs w:val="32"/>
    </w:rPr>
  </w:style>
  <w:style w:type="paragraph" w:styleId="Heading3">
    <w:name w:val="heading 3"/>
    <w:basedOn w:val="Normal"/>
    <w:link w:val="Heading3Char"/>
    <w:autoRedefine/>
    <w:uiPriority w:val="9"/>
    <w:unhideWhenUsed/>
    <w:qFormat/>
    <w:rsid w:val="00563E09"/>
    <w:pPr>
      <w:ind w:left="720" w:right="864"/>
      <w:jc w:val="left"/>
      <w:outlineLvl w:val="2"/>
    </w:pPr>
    <w:rPr>
      <w:b/>
      <w:bCs/>
      <w:sz w:val="28"/>
      <w:szCs w:val="28"/>
      <w:lang w:val="en-US"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autoRedefine/>
    <w:uiPriority w:val="1"/>
    <w:qFormat/>
    <w:rsid w:val="00563E09"/>
    <w:pPr>
      <w:framePr w:hSpace="180" w:wrap="around" w:vAnchor="text" w:hAnchor="text" w:x="14" w:y="126"/>
    </w:pPr>
    <w:rPr>
      <w:szCs w:val="24"/>
    </w:rPr>
  </w:style>
  <w:style w:type="character" w:customStyle="1" w:styleId="BodyTextChar">
    <w:name w:val="Body Text Char"/>
    <w:basedOn w:val="DefaultParagraphFont"/>
    <w:link w:val="BodyText"/>
    <w:uiPriority w:val="1"/>
    <w:rsid w:val="00563E09"/>
    <w:rPr>
      <w:rFonts w:ascii="Times New Roman" w:eastAsia="Times New Roman" w:hAnsi="Times New Roman" w:cs="Times New Roman"/>
      <w:sz w:val="24"/>
      <w:szCs w:val="24"/>
      <w:lang w:eastAsia="en-GB" w:bidi="en-GB"/>
    </w:rPr>
  </w:style>
  <w:style w:type="character" w:customStyle="1" w:styleId="Heading1Char">
    <w:name w:val="Heading 1 Char"/>
    <w:basedOn w:val="DefaultParagraphFont"/>
    <w:link w:val="Heading1"/>
    <w:uiPriority w:val="9"/>
    <w:rsid w:val="00563E09"/>
    <w:rPr>
      <w:rFonts w:ascii="Times New Roman" w:eastAsia="Times New Roman" w:hAnsi="Times New Roman" w:cs="Times New Roman"/>
      <w:b/>
      <w:bCs/>
      <w:sz w:val="36"/>
      <w:szCs w:val="36"/>
      <w:lang w:eastAsia="en-GB" w:bidi="en-GB"/>
    </w:rPr>
  </w:style>
  <w:style w:type="character" w:customStyle="1" w:styleId="Heading2Char">
    <w:name w:val="Heading 2 Char"/>
    <w:basedOn w:val="DefaultParagraphFont"/>
    <w:link w:val="Heading2"/>
    <w:uiPriority w:val="9"/>
    <w:rsid w:val="00563E09"/>
    <w:rPr>
      <w:rFonts w:ascii="Times New Roman" w:eastAsia="Times New Roman" w:hAnsi="Times New Roman" w:cs="Times New Roman"/>
      <w:b/>
      <w:bCs/>
      <w:sz w:val="32"/>
      <w:szCs w:val="32"/>
      <w:lang w:eastAsia="en-GB" w:bidi="en-GB"/>
    </w:rPr>
  </w:style>
  <w:style w:type="character" w:customStyle="1" w:styleId="Heading3Char">
    <w:name w:val="Heading 3 Char"/>
    <w:basedOn w:val="DefaultParagraphFont"/>
    <w:link w:val="Heading3"/>
    <w:uiPriority w:val="9"/>
    <w:rsid w:val="00563E09"/>
    <w:rPr>
      <w:rFonts w:ascii="Times New Roman" w:eastAsia="Times New Roman" w:hAnsi="Times New Roman" w:cs="Times New Roman"/>
      <w:b/>
      <w:bCs/>
      <w:sz w:val="28"/>
      <w:szCs w:val="28"/>
      <w:lang w:val="en-US" w:eastAsia="en-GB" w:bidi="en-US"/>
    </w:rPr>
  </w:style>
  <w:style w:type="paragraph" w:styleId="Header">
    <w:name w:val="header"/>
    <w:basedOn w:val="Normal"/>
    <w:link w:val="HeaderChar"/>
    <w:uiPriority w:val="99"/>
    <w:unhideWhenUsed/>
    <w:rsid w:val="00377F09"/>
    <w:pPr>
      <w:tabs>
        <w:tab w:val="center" w:pos="4513"/>
        <w:tab w:val="right" w:pos="9026"/>
      </w:tabs>
    </w:pPr>
  </w:style>
  <w:style w:type="character" w:customStyle="1" w:styleId="HeaderChar">
    <w:name w:val="Header Char"/>
    <w:basedOn w:val="DefaultParagraphFont"/>
    <w:link w:val="Header"/>
    <w:uiPriority w:val="99"/>
    <w:rsid w:val="00377F09"/>
    <w:rPr>
      <w:rFonts w:ascii="Times New Roman" w:hAnsi="Times New Roman" w:cs="Times New Roman"/>
      <w:sz w:val="24"/>
      <w:lang w:eastAsia="en-GB" w:bidi="en-GB"/>
    </w:rPr>
  </w:style>
  <w:style w:type="paragraph" w:styleId="Footer">
    <w:name w:val="footer"/>
    <w:basedOn w:val="Normal"/>
    <w:link w:val="FooterChar"/>
    <w:uiPriority w:val="99"/>
    <w:unhideWhenUsed/>
    <w:rsid w:val="00377F09"/>
    <w:pPr>
      <w:tabs>
        <w:tab w:val="center" w:pos="4513"/>
        <w:tab w:val="right" w:pos="9026"/>
      </w:tabs>
    </w:pPr>
  </w:style>
  <w:style w:type="character" w:customStyle="1" w:styleId="FooterChar">
    <w:name w:val="Footer Char"/>
    <w:basedOn w:val="DefaultParagraphFont"/>
    <w:link w:val="Footer"/>
    <w:uiPriority w:val="99"/>
    <w:rsid w:val="00377F09"/>
    <w:rPr>
      <w:rFonts w:ascii="Times New Roman" w:hAnsi="Times New Roman" w:cs="Times New Roman"/>
      <w:sz w:val="24"/>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SXL Southern Cross</a:t>
            </a:r>
            <a:r>
              <a:rPr lang="en-GB" baseline="0"/>
              <a:t> Media Group</a:t>
            </a:r>
          </a:p>
          <a:p>
            <a:pPr>
              <a:defRPr/>
            </a:pPr>
            <a:r>
              <a:rPr lang="en-GB" baseline="0"/>
              <a:t>Long-Term Debt/ Equity Ratio.</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'Inputs - Part A (a) to (c)'!$B$138:$C$138</c:f>
              <c:strCache>
                <c:ptCount val="2"/>
                <c:pt idx="0">
                  <c:v>SXL</c:v>
                </c:pt>
                <c:pt idx="1">
                  <c:v>Southern cross mediagroup</c:v>
                </c:pt>
              </c:strCache>
            </c:strRef>
          </c:tx>
          <c:spPr>
            <a:solidFill>
              <a:schemeClr val="accent1"/>
            </a:solidFill>
            <a:ln>
              <a:noFill/>
            </a:ln>
            <a:effectLst/>
          </c:spPr>
          <c:invertIfNegative val="0"/>
          <c:val>
            <c:numRef>
              <c:f>'Inputs - Part A (a) to (c)'!$D$138:$I$138</c:f>
              <c:numCache>
                <c:formatCode>General</c:formatCode>
                <c:ptCount val="6"/>
                <c:pt idx="0">
                  <c:v>0.69148936170212771</c:v>
                </c:pt>
                <c:pt idx="1">
                  <c:v>0.43877551020408162</c:v>
                </c:pt>
                <c:pt idx="2">
                  <c:v>0.56923076923076921</c:v>
                </c:pt>
                <c:pt idx="3">
                  <c:v>0.61016949152542377</c:v>
                </c:pt>
                <c:pt idx="4">
                  <c:v>0.7441860465116279</c:v>
                </c:pt>
              </c:numCache>
            </c:numRef>
          </c:val>
          <c:extLst>
            <c:ext xmlns:c16="http://schemas.microsoft.com/office/drawing/2014/chart" uri="{C3380CC4-5D6E-409C-BE32-E72D297353CC}">
              <c16:uniqueId val="{00000000-97D8-4C5E-AFBC-2BDDA1F8E286}"/>
            </c:ext>
          </c:extLst>
        </c:ser>
        <c:dLbls>
          <c:showLegendKey val="0"/>
          <c:showVal val="0"/>
          <c:showCatName val="0"/>
          <c:showSerName val="0"/>
          <c:showPercent val="0"/>
          <c:showBubbleSize val="0"/>
        </c:dLbls>
        <c:gapWidth val="219"/>
        <c:overlap val="-27"/>
        <c:axId val="314992832"/>
        <c:axId val="352277792"/>
      </c:barChart>
      <c:catAx>
        <c:axId val="3149928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277792"/>
        <c:crosses val="autoZero"/>
        <c:auto val="1"/>
        <c:lblAlgn val="ctr"/>
        <c:lblOffset val="100"/>
        <c:noMultiLvlLbl val="0"/>
      </c:catAx>
      <c:valAx>
        <c:axId val="352277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992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SXL Southern cross</a:t>
            </a:r>
            <a:r>
              <a:rPr lang="en-US" baseline="0"/>
              <a:t> Media G</a:t>
            </a:r>
            <a:r>
              <a:rPr lang="en-US"/>
              <a:t>roup</a:t>
            </a:r>
          </a:p>
          <a:p>
            <a:pPr>
              <a:defRPr/>
            </a:pPr>
            <a:r>
              <a:rPr lang="en-US"/>
              <a:t>Long-Term</a:t>
            </a:r>
            <a:r>
              <a:rPr lang="en-US" baseline="0"/>
              <a:t> Debt/Total Assest Ratio.</a:t>
            </a:r>
            <a:endParaRPr lang="en-US"/>
          </a:p>
        </c:rich>
      </c:tx>
      <c:layout>
        <c:manualLayout>
          <c:xMode val="edge"/>
          <c:yMode val="edge"/>
          <c:x val="0.23434011373578303"/>
          <c:y val="4.1666666666666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1664260717410319E-2"/>
          <c:y val="0.17634259259259263"/>
          <c:w val="0.88389129483814521"/>
          <c:h val="0.72088764946048411"/>
        </c:manualLayout>
      </c:layout>
      <c:barChart>
        <c:barDir val="col"/>
        <c:grouping val="clustered"/>
        <c:varyColors val="0"/>
        <c:ser>
          <c:idx val="0"/>
          <c:order val="0"/>
          <c:tx>
            <c:strRef>
              <c:f>'Inputs - Part A (a) to (c)'!$B$121:$C$121</c:f>
              <c:strCache>
                <c:ptCount val="2"/>
                <c:pt idx="0">
                  <c:v>SXL</c:v>
                </c:pt>
                <c:pt idx="1">
                  <c:v>Southern cross mediagroup</c:v>
                </c:pt>
              </c:strCache>
            </c:strRef>
          </c:tx>
          <c:spPr>
            <a:solidFill>
              <a:schemeClr val="accent1"/>
            </a:solidFill>
            <a:ln>
              <a:noFill/>
            </a:ln>
            <a:effectLst/>
          </c:spPr>
          <c:invertIfNegative val="0"/>
          <c:val>
            <c:numRef>
              <c:f>'Inputs - Part A (a) to (c)'!$D$121:$I$121</c:f>
              <c:numCache>
                <c:formatCode>General</c:formatCode>
                <c:ptCount val="6"/>
                <c:pt idx="0">
                  <c:v>0.37356321839080459</c:v>
                </c:pt>
                <c:pt idx="1">
                  <c:v>0.25443786982248523</c:v>
                </c:pt>
                <c:pt idx="2">
                  <c:v>0.23124999999999998</c:v>
                </c:pt>
                <c:pt idx="3">
                  <c:v>0.24324324324324323</c:v>
                </c:pt>
                <c:pt idx="4">
                  <c:v>0.26229508196721313</c:v>
                </c:pt>
              </c:numCache>
            </c:numRef>
          </c:val>
          <c:extLst>
            <c:ext xmlns:c16="http://schemas.microsoft.com/office/drawing/2014/chart" uri="{C3380CC4-5D6E-409C-BE32-E72D297353CC}">
              <c16:uniqueId val="{00000000-7287-4155-8CD8-E3E2CED3F970}"/>
            </c:ext>
          </c:extLst>
        </c:ser>
        <c:dLbls>
          <c:showLegendKey val="0"/>
          <c:showVal val="0"/>
          <c:showCatName val="0"/>
          <c:showSerName val="0"/>
          <c:showPercent val="0"/>
          <c:showBubbleSize val="0"/>
        </c:dLbls>
        <c:gapWidth val="219"/>
        <c:overlap val="-27"/>
        <c:axId val="428035120"/>
        <c:axId val="428035952"/>
      </c:barChart>
      <c:catAx>
        <c:axId val="4280351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035952"/>
        <c:crosses val="autoZero"/>
        <c:auto val="1"/>
        <c:lblAlgn val="ctr"/>
        <c:lblOffset val="100"/>
        <c:noMultiLvlLbl val="0"/>
      </c:catAx>
      <c:valAx>
        <c:axId val="428035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0351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241</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dc:creator>
  <cp:keywords/>
  <dc:description/>
  <cp:lastModifiedBy>Erick</cp:lastModifiedBy>
  <cp:revision>10</cp:revision>
  <dcterms:created xsi:type="dcterms:W3CDTF">2021-05-09T13:15:00Z</dcterms:created>
  <dcterms:modified xsi:type="dcterms:W3CDTF">2021-05-09T17:15:00Z</dcterms:modified>
</cp:coreProperties>
</file>